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FD0F9D" w:rsidTr="005008E8">
        <w:trPr>
          <w:trHeight w:val="2696"/>
          <w:tblHeader/>
        </w:trPr>
        <w:tc>
          <w:tcPr>
            <w:tcW w:w="10960" w:type="dxa"/>
          </w:tcPr>
          <w:p w:rsidR="00FD0F9D" w:rsidRDefault="00FD0F9D" w:rsidP="005008E8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1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F9D" w:rsidRPr="00B06945" w:rsidRDefault="00FD0F9D" w:rsidP="005008E8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FD0F9D" w:rsidRDefault="00FD0F9D" w:rsidP="005008E8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FD0F9D" w:rsidRDefault="00FD0F9D" w:rsidP="005008E8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FD0F9D" w:rsidRDefault="00FD0F9D" w:rsidP="005008E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D0F9D" w:rsidRPr="006D3093" w:rsidRDefault="00FD0F9D" w:rsidP="005008E8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FD0F9D" w:rsidRPr="007A71CB" w:rsidRDefault="00FD0F9D" w:rsidP="005008E8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FD0F9D" w:rsidRPr="007A71CB" w:rsidRDefault="00FD0F9D" w:rsidP="005008E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FD0F9D" w:rsidRPr="0006364F" w:rsidRDefault="00FD0F9D" w:rsidP="005008E8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>
              <w:rPr>
                <w:b/>
                <w:sz w:val="28"/>
                <w:szCs w:val="28"/>
              </w:rPr>
              <w:t>о</w:t>
            </w:r>
            <w:r w:rsidRPr="0006364F">
              <w:rPr>
                <w:b/>
                <w:sz w:val="28"/>
                <w:szCs w:val="28"/>
              </w:rPr>
              <w:t xml:space="preserve">т </w:t>
            </w:r>
            <w:r w:rsidR="00F34E68">
              <w:rPr>
                <w:b/>
                <w:sz w:val="28"/>
                <w:szCs w:val="28"/>
              </w:rPr>
              <w:t xml:space="preserve"> </w:t>
            </w:r>
            <w:r w:rsidR="00F34E68" w:rsidRPr="00F34E68">
              <w:rPr>
                <w:sz w:val="28"/>
                <w:szCs w:val="28"/>
              </w:rPr>
              <w:t>6 августа 2018 года</w:t>
            </w:r>
            <w:r w:rsidR="00F34E68">
              <w:rPr>
                <w:sz w:val="28"/>
                <w:szCs w:val="28"/>
              </w:rPr>
              <w:t xml:space="preserve">                                                        № 172</w:t>
            </w:r>
          </w:p>
          <w:p w:rsidR="00FD0F9D" w:rsidRPr="009C73D9" w:rsidRDefault="00FD0F9D" w:rsidP="005008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FD0F9D" w:rsidRDefault="00FD0F9D" w:rsidP="005008E8">
            <w:pPr>
              <w:ind w:right="-697"/>
              <w:rPr>
                <w:sz w:val="24"/>
                <w:szCs w:val="24"/>
              </w:rPr>
            </w:pPr>
          </w:p>
          <w:p w:rsidR="00FD0F9D" w:rsidRPr="002E78DD" w:rsidRDefault="00FD0F9D" w:rsidP="005008E8">
            <w:pPr>
              <w:ind w:right="-697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FD0F9D" w:rsidRDefault="00FD0F9D" w:rsidP="005008E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FD0F9D" w:rsidRDefault="00FD0F9D" w:rsidP="005008E8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FD0F9D" w:rsidRDefault="00FD0F9D" w:rsidP="005008E8">
            <w:pPr>
              <w:pStyle w:val="21"/>
              <w:spacing w:after="0" w:line="240" w:lineRule="auto"/>
              <w:jc w:val="left"/>
            </w:pPr>
          </w:p>
          <w:p w:rsidR="00FD0F9D" w:rsidRDefault="00FD0F9D" w:rsidP="005008E8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FD0F9D" w:rsidRDefault="00FD0F9D" w:rsidP="005008E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FD0F9D" w:rsidRDefault="00FD0F9D" w:rsidP="005008E8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00714B" w:rsidRDefault="00FD0F9D" w:rsidP="00FD0F9D">
      <w:pPr>
        <w:jc w:val="center"/>
        <w:rPr>
          <w:b/>
          <w:sz w:val="28"/>
          <w:szCs w:val="28"/>
        </w:rPr>
      </w:pPr>
      <w:r w:rsidRPr="00442A2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42A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уточнении почтового адреса земельному участку с кадастровым номером 23:30:0501005:2085 с расположенным на нем объектом недвижимости с кадастровым номером 23:30:0501005:2204 </w:t>
      </w:r>
    </w:p>
    <w:p w:rsidR="00FD0F9D" w:rsidRDefault="00FD0F9D" w:rsidP="000071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ул. Гаражная  в пос. Приморский</w:t>
      </w:r>
    </w:p>
    <w:p w:rsidR="00FD0F9D" w:rsidRDefault="00FD0F9D" w:rsidP="00FD0F9D">
      <w:pPr>
        <w:rPr>
          <w:sz w:val="28"/>
          <w:szCs w:val="28"/>
        </w:rPr>
      </w:pPr>
    </w:p>
    <w:p w:rsidR="00FD0F9D" w:rsidRDefault="00FD0F9D" w:rsidP="00FD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заявление Мезенцева Геннадия Константиновича, 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22 Устава Сенного сельского поселения Темрюкского района, постановления администрации Сенного сельского поселения Темрюкского района от 5 февраля 2016 года № 25 «Об утверждении административного регламента предоставления муниципальной услуги «Присвоение, изменение и аннулирование адресов», выписки из Единого государственного реестра недвижимости об основных характеристиках и зарегистрированных правах на объект недвижимости от 20 декабря 2017 года, в соответствии с натурным обследованием объекта недвижимости, с учетом его фактического расположения, п о с т а н о в л я ю:</w:t>
      </w:r>
    </w:p>
    <w:p w:rsidR="00FD0F9D" w:rsidRDefault="00FD0F9D" w:rsidP="00FD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Присвоить почтовый адрес земельному участку с кадастровым номером 23:30:0501005:2085 общей площадью 7</w:t>
      </w:r>
      <w:r w:rsidR="0000714B">
        <w:rPr>
          <w:sz w:val="28"/>
          <w:szCs w:val="28"/>
        </w:rPr>
        <w:t>0</w:t>
      </w:r>
      <w:r>
        <w:rPr>
          <w:sz w:val="28"/>
          <w:szCs w:val="28"/>
        </w:rPr>
        <w:t xml:space="preserve">6 кв.м, с расположенным на нем объектом недвижимого имущества с кадастровым номером 23:30:0501005:2204  (жилой дом) </w:t>
      </w:r>
      <w:r w:rsidRPr="00910AD3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85,8</w:t>
      </w:r>
      <w:r w:rsidRPr="00523B07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новый  адрес: Российская Федерация</w:t>
      </w:r>
      <w:r w:rsidRPr="00DF3702">
        <w:rPr>
          <w:sz w:val="28"/>
          <w:szCs w:val="28"/>
        </w:rPr>
        <w:t>,</w:t>
      </w:r>
      <w:r>
        <w:rPr>
          <w:sz w:val="28"/>
          <w:szCs w:val="28"/>
        </w:rPr>
        <w:t xml:space="preserve"> Краснодарский край, Темрюкский район, </w:t>
      </w:r>
      <w:r w:rsidR="000071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пос. Приморский, ул. Гаражная, 18 «а». </w:t>
      </w:r>
    </w:p>
    <w:p w:rsidR="00FD0F9D" w:rsidRPr="0000714B" w:rsidRDefault="00FD0F9D" w:rsidP="0000714B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Ранее согласно Выписки из Единого государственного реестра недвижимости об основных характеристиках и зарегистрированных правах на объект недвижимости от 20 декабря 2017 года земельный участок с кадастровым номером 23:30:0501005:2085  общей площадью 7</w:t>
      </w:r>
      <w:r w:rsidR="0000714B">
        <w:rPr>
          <w:sz w:val="28"/>
          <w:szCs w:val="28"/>
        </w:rPr>
        <w:t>0</w:t>
      </w:r>
      <w:r>
        <w:rPr>
          <w:sz w:val="28"/>
          <w:szCs w:val="28"/>
        </w:rPr>
        <w:t xml:space="preserve">6 кв.м, с расположенным на нем объектом недвижимого имущества с кадастровым номером 23:30:0501005:2204 (жилой дом) </w:t>
      </w:r>
      <w:r w:rsidRPr="00523B07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85,8</w:t>
      </w:r>
      <w:r w:rsidRPr="00523B07">
        <w:rPr>
          <w:sz w:val="28"/>
          <w:szCs w:val="28"/>
        </w:rPr>
        <w:t xml:space="preserve"> кв.м,</w:t>
      </w:r>
      <w:r>
        <w:rPr>
          <w:sz w:val="28"/>
          <w:szCs w:val="28"/>
        </w:rPr>
        <w:t xml:space="preserve"> значился по адресу: Краснодарский край, Темрюкский район, п. Приморский, </w:t>
      </w:r>
      <w:r w:rsidR="0000714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пер. Гаражный, д. 18а.</w:t>
      </w:r>
    </w:p>
    <w:p w:rsidR="00FD0F9D" w:rsidRPr="006B52B5" w:rsidRDefault="00FD0F9D" w:rsidP="00FD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выполнением</w:t>
      </w:r>
      <w:r w:rsidR="0000714B">
        <w:rPr>
          <w:sz w:val="28"/>
          <w:szCs w:val="28"/>
        </w:rPr>
        <w:t xml:space="preserve"> настоящего</w:t>
      </w:r>
      <w:r>
        <w:rPr>
          <w:sz w:val="28"/>
          <w:szCs w:val="28"/>
        </w:rPr>
        <w:t xml:space="preserve"> постановления  возложить на начальника отдела земельных и имущественных отношений администрации Сенного сельского поселения Темрюкского района С.Г. Дружинина.</w:t>
      </w:r>
    </w:p>
    <w:p w:rsidR="00FD0F9D" w:rsidRDefault="00FD0F9D" w:rsidP="00FD0F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00714B" w:rsidRDefault="0000714B" w:rsidP="00FD0F9D">
      <w:pPr>
        <w:jc w:val="both"/>
        <w:rPr>
          <w:sz w:val="28"/>
          <w:szCs w:val="28"/>
        </w:rPr>
      </w:pPr>
    </w:p>
    <w:p w:rsidR="00FD0F9D" w:rsidRDefault="00FD0F9D" w:rsidP="00FD0F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FD0F9D" w:rsidRPr="0000714B" w:rsidRDefault="00FD0F9D" w:rsidP="000071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С.И. Лулудов</w:t>
      </w:r>
    </w:p>
    <w:p w:rsidR="00FD0F9D" w:rsidRPr="007F0B49" w:rsidRDefault="00FD0F9D" w:rsidP="00FD0F9D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FD0F9D" w:rsidRPr="007F0B49" w:rsidRDefault="00FD0F9D" w:rsidP="00FD0F9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FD0F9D" w:rsidRPr="007F0B49" w:rsidRDefault="00FD0F9D" w:rsidP="00FD0F9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FD0F9D" w:rsidRPr="007F0B49" w:rsidRDefault="00FD0F9D" w:rsidP="00FD0F9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FD0F9D" w:rsidRPr="007F0B49" w:rsidRDefault="00FD0F9D" w:rsidP="00FD0F9D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от_____________</w:t>
      </w:r>
      <w:r w:rsidRPr="007F0B49">
        <w:rPr>
          <w:sz w:val="28"/>
          <w:szCs w:val="28"/>
        </w:rPr>
        <w:t xml:space="preserve"> № _______</w:t>
      </w:r>
    </w:p>
    <w:p w:rsidR="0000714B" w:rsidRPr="0000714B" w:rsidRDefault="00FD0F9D" w:rsidP="00FD0F9D">
      <w:pPr>
        <w:jc w:val="center"/>
        <w:rPr>
          <w:sz w:val="28"/>
          <w:szCs w:val="28"/>
        </w:rPr>
      </w:pPr>
      <w:r w:rsidRPr="005909DC">
        <w:rPr>
          <w:sz w:val="28"/>
          <w:szCs w:val="28"/>
        </w:rPr>
        <w:t>«</w:t>
      </w:r>
      <w:r w:rsidR="0000714B" w:rsidRPr="0000714B">
        <w:rPr>
          <w:sz w:val="28"/>
          <w:szCs w:val="28"/>
        </w:rPr>
        <w:t xml:space="preserve">Об уточнении почтового адреса земельному участку с кадастровым номером 23:30:0501005:2085 с расположенным на нем объектом недвижимости с кадастровым номером 23:30:0501005:2204 </w:t>
      </w:r>
    </w:p>
    <w:p w:rsidR="00FD0F9D" w:rsidRPr="00723F69" w:rsidRDefault="0000714B" w:rsidP="00FD0F9D">
      <w:pPr>
        <w:jc w:val="center"/>
        <w:rPr>
          <w:sz w:val="28"/>
          <w:szCs w:val="28"/>
        </w:rPr>
      </w:pPr>
      <w:r w:rsidRPr="0000714B">
        <w:rPr>
          <w:sz w:val="28"/>
          <w:szCs w:val="28"/>
        </w:rPr>
        <w:t>по ул. Гаражная  в пос. Приморский</w:t>
      </w:r>
      <w:r w:rsidR="00FD0F9D" w:rsidRPr="0000714B">
        <w:rPr>
          <w:sz w:val="28"/>
          <w:szCs w:val="28"/>
        </w:rPr>
        <w:t>»</w:t>
      </w:r>
    </w:p>
    <w:p w:rsidR="00FD0F9D" w:rsidRPr="00D217CB" w:rsidRDefault="00FD0F9D" w:rsidP="00FD0F9D">
      <w:pPr>
        <w:jc w:val="center"/>
        <w:rPr>
          <w:sz w:val="28"/>
          <w:szCs w:val="28"/>
        </w:rPr>
      </w:pPr>
    </w:p>
    <w:p w:rsidR="00FD0F9D" w:rsidRDefault="00FD0F9D" w:rsidP="00FD0F9D">
      <w:pPr>
        <w:rPr>
          <w:sz w:val="28"/>
          <w:szCs w:val="28"/>
        </w:rPr>
      </w:pPr>
    </w:p>
    <w:p w:rsidR="00FD0F9D" w:rsidRPr="001C432C" w:rsidRDefault="00FD0F9D" w:rsidP="00FD0F9D">
      <w:pPr>
        <w:rPr>
          <w:b/>
          <w:sz w:val="28"/>
          <w:szCs w:val="28"/>
        </w:rPr>
      </w:pP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 xml:space="preserve">земельных и имущественных отношений 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D0F9D" w:rsidRDefault="00FD0F9D" w:rsidP="00FD0F9D">
      <w:pPr>
        <w:tabs>
          <w:tab w:val="left" w:pos="7140"/>
        </w:tabs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FD0F9D" w:rsidRDefault="00FD0F9D" w:rsidP="00FD0F9D">
      <w:pPr>
        <w:tabs>
          <w:tab w:val="left" w:pos="7140"/>
        </w:tabs>
        <w:rPr>
          <w:sz w:val="28"/>
          <w:szCs w:val="28"/>
        </w:rPr>
      </w:pPr>
    </w:p>
    <w:p w:rsidR="00FD0F9D" w:rsidRDefault="00FD0F9D" w:rsidP="00FD0F9D">
      <w:pPr>
        <w:tabs>
          <w:tab w:val="left" w:pos="7140"/>
        </w:tabs>
        <w:rPr>
          <w:sz w:val="28"/>
          <w:szCs w:val="28"/>
        </w:rPr>
      </w:pP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М.Е. Шлычков</w:t>
      </w:r>
    </w:p>
    <w:p w:rsidR="00FD0F9D" w:rsidRDefault="00FD0F9D" w:rsidP="00FD0F9D">
      <w:pPr>
        <w:tabs>
          <w:tab w:val="left" w:pos="7140"/>
        </w:tabs>
        <w:rPr>
          <w:sz w:val="28"/>
          <w:szCs w:val="28"/>
        </w:rPr>
      </w:pP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FD0F9D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FD0F9D" w:rsidRPr="008C74B7" w:rsidRDefault="00FD0F9D" w:rsidP="00FD0F9D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Н.</w:t>
      </w:r>
      <w:r w:rsidR="0000714B">
        <w:rPr>
          <w:sz w:val="28"/>
          <w:szCs w:val="28"/>
        </w:rPr>
        <w:t>П</w:t>
      </w:r>
      <w:r>
        <w:rPr>
          <w:sz w:val="28"/>
          <w:szCs w:val="28"/>
        </w:rPr>
        <w:t xml:space="preserve">. </w:t>
      </w:r>
      <w:r w:rsidR="0000714B">
        <w:rPr>
          <w:sz w:val="28"/>
          <w:szCs w:val="28"/>
        </w:rPr>
        <w:t>Дудко</w:t>
      </w:r>
    </w:p>
    <w:p w:rsidR="00FD0F9D" w:rsidRDefault="00FD0F9D" w:rsidP="00FD0F9D">
      <w:pPr>
        <w:jc w:val="center"/>
      </w:pPr>
    </w:p>
    <w:p w:rsidR="00FD0F9D" w:rsidRDefault="00FD0F9D" w:rsidP="00FD0F9D">
      <w:pPr>
        <w:jc w:val="center"/>
      </w:pPr>
    </w:p>
    <w:p w:rsidR="00FD0F9D" w:rsidRDefault="00FD0F9D" w:rsidP="00FD0F9D">
      <w:pPr>
        <w:jc w:val="center"/>
      </w:pPr>
    </w:p>
    <w:p w:rsidR="00FD0F9D" w:rsidRDefault="00FD0F9D" w:rsidP="00FD0F9D"/>
    <w:p w:rsidR="00894B05" w:rsidRDefault="00894B05"/>
    <w:sectPr w:rsidR="00894B05" w:rsidSect="0000714B">
      <w:headerReference w:type="even" r:id="rId7"/>
      <w:headerReference w:type="default" r:id="rId8"/>
      <w:pgSz w:w="11906" w:h="16838" w:code="9"/>
      <w:pgMar w:top="284" w:right="849" w:bottom="426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D5" w:rsidRDefault="00CD0BD5" w:rsidP="009D4CB3">
      <w:r>
        <w:separator/>
      </w:r>
    </w:p>
  </w:endnote>
  <w:endnote w:type="continuationSeparator" w:id="1">
    <w:p w:rsidR="00CD0BD5" w:rsidRDefault="00CD0BD5" w:rsidP="009D4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D5" w:rsidRDefault="00CD0BD5" w:rsidP="009D4CB3">
      <w:r>
        <w:separator/>
      </w:r>
    </w:p>
  </w:footnote>
  <w:footnote w:type="continuationSeparator" w:id="1">
    <w:p w:rsidR="00CD0BD5" w:rsidRDefault="00CD0BD5" w:rsidP="009D4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9D4C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B494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4949">
      <w:rPr>
        <w:rStyle w:val="a5"/>
        <w:noProof/>
      </w:rPr>
      <w:t>2</w:t>
    </w:r>
    <w:r>
      <w:rPr>
        <w:rStyle w:val="a5"/>
      </w:rPr>
      <w:fldChar w:fldCharType="end"/>
    </w:r>
  </w:p>
  <w:p w:rsidR="006B785C" w:rsidRDefault="00CD0B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26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13B91" w:rsidRPr="00C13B91" w:rsidRDefault="009D4CB3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7B4949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F34E68">
          <w:rPr>
            <w:noProof/>
            <w:sz w:val="28"/>
            <w:szCs w:val="28"/>
          </w:rPr>
          <w:t>2</w:t>
        </w:r>
        <w:r w:rsidRPr="00C13B91">
          <w:rPr>
            <w:sz w:val="28"/>
            <w:szCs w:val="28"/>
          </w:rPr>
          <w:fldChar w:fldCharType="end"/>
        </w:r>
      </w:p>
    </w:sdtContent>
  </w:sdt>
  <w:p w:rsidR="00441C6E" w:rsidRPr="001363C0" w:rsidRDefault="00CD0BD5" w:rsidP="00441C6E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0F9D"/>
    <w:rsid w:val="0000714B"/>
    <w:rsid w:val="007B4949"/>
    <w:rsid w:val="008577B2"/>
    <w:rsid w:val="00880303"/>
    <w:rsid w:val="00894B05"/>
    <w:rsid w:val="009D4CB3"/>
    <w:rsid w:val="00B02279"/>
    <w:rsid w:val="00CD0BD5"/>
    <w:rsid w:val="00F34E68"/>
    <w:rsid w:val="00FD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D0F9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D0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FD0F9D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FD0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0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D0F9D"/>
  </w:style>
  <w:style w:type="paragraph" w:styleId="a6">
    <w:name w:val="Balloon Text"/>
    <w:basedOn w:val="a"/>
    <w:link w:val="a7"/>
    <w:uiPriority w:val="99"/>
    <w:semiHidden/>
    <w:unhideWhenUsed/>
    <w:rsid w:val="00FD0F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0F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2018-08-06T12:39:00Z</cp:lastPrinted>
  <dcterms:created xsi:type="dcterms:W3CDTF">2018-08-06T12:54:00Z</dcterms:created>
  <dcterms:modified xsi:type="dcterms:W3CDTF">2018-08-06T12:56:00Z</dcterms:modified>
</cp:coreProperties>
</file>